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676" w:rsidRPr="002912A3" w:rsidRDefault="00F96676" w:rsidP="00F96676">
      <w:pPr>
        <w:tabs>
          <w:tab w:val="left" w:pos="1701"/>
          <w:tab w:val="right" w:pos="9923"/>
        </w:tabs>
        <w:wordWrap/>
        <w:autoSpaceDE/>
        <w:autoSpaceDN/>
        <w:spacing w:before="120" w:after="0" w:line="240" w:lineRule="auto"/>
        <w:jc w:val="left"/>
        <w:rPr>
          <w:rFonts w:ascii="Arial" w:eastAsia="Times New Roman" w:hAnsi="Arial" w:cs="Times New Roman"/>
          <w:b/>
          <w:bCs/>
          <w:kern w:val="0"/>
          <w:sz w:val="24"/>
          <w:szCs w:val="24"/>
          <w:lang w:val="en-GB" w:eastAsia="en-US"/>
        </w:rPr>
      </w:pPr>
      <w:r w:rsidRPr="002912A3">
        <w:rPr>
          <w:rFonts w:ascii="Arial" w:eastAsia="Times New Roman" w:hAnsi="Arial" w:cs="Times New Roman"/>
          <w:b/>
          <w:bCs/>
          <w:kern w:val="0"/>
          <w:sz w:val="24"/>
          <w:szCs w:val="24"/>
          <w:lang w:val="en-GB" w:eastAsia="en-US"/>
        </w:rPr>
        <w:t xml:space="preserve">3GPP TSG RAN WG2 Meeting #108                           </w:t>
      </w:r>
      <w:r w:rsidR="002A44DE" w:rsidRPr="002A44DE">
        <w:rPr>
          <w:rFonts w:ascii="Arial" w:eastAsia="Times New Roman" w:hAnsi="Arial" w:cs="Times New Roman"/>
          <w:b/>
          <w:bCs/>
          <w:kern w:val="0"/>
          <w:sz w:val="24"/>
          <w:szCs w:val="24"/>
          <w:lang w:val="en-GB" w:eastAsia="en-US"/>
        </w:rPr>
        <w:t>R2-1916058</w:t>
      </w:r>
      <w:bookmarkStart w:id="0" w:name="_GoBack"/>
      <w:bookmarkEnd w:id="0"/>
    </w:p>
    <w:p w:rsidR="00F96676" w:rsidRDefault="00F96676" w:rsidP="00F96676">
      <w:pPr>
        <w:tabs>
          <w:tab w:val="left" w:pos="1701"/>
          <w:tab w:val="right" w:pos="9923"/>
        </w:tabs>
        <w:wordWrap/>
        <w:autoSpaceDE/>
        <w:autoSpaceDN/>
        <w:spacing w:before="120" w:after="0" w:line="240" w:lineRule="auto"/>
        <w:jc w:val="left"/>
        <w:rPr>
          <w:rFonts w:ascii="Arial" w:eastAsia="Times New Roman" w:hAnsi="Arial" w:cs="Times New Roman"/>
          <w:b/>
          <w:bCs/>
          <w:kern w:val="0"/>
          <w:szCs w:val="20"/>
          <w:lang w:val="en-GB" w:eastAsia="en-US"/>
        </w:rPr>
      </w:pPr>
      <w:r w:rsidRPr="002912A3">
        <w:rPr>
          <w:rFonts w:ascii="Arial" w:eastAsia="Times New Roman" w:hAnsi="Arial" w:cs="Times New Roman"/>
          <w:b/>
          <w:bCs/>
          <w:kern w:val="0"/>
          <w:sz w:val="24"/>
          <w:szCs w:val="24"/>
          <w:lang w:val="en-GB" w:eastAsia="en-US"/>
        </w:rPr>
        <w:t>Reno, U</w:t>
      </w:r>
      <w:r>
        <w:rPr>
          <w:rFonts w:ascii="Arial" w:eastAsia="Times New Roman" w:hAnsi="Arial" w:cs="Times New Roman"/>
          <w:b/>
          <w:bCs/>
          <w:kern w:val="0"/>
          <w:sz w:val="24"/>
          <w:szCs w:val="24"/>
          <w:lang w:val="en-GB" w:eastAsia="en-US"/>
        </w:rPr>
        <w:t>SA, November 18th – 22th, 2019</w:t>
      </w:r>
      <w:r>
        <w:rPr>
          <w:rFonts w:ascii="Arial" w:eastAsia="Times New Roman" w:hAnsi="Arial" w:cs="Times New Roman"/>
          <w:b/>
          <w:bCs/>
          <w:kern w:val="0"/>
          <w:sz w:val="24"/>
          <w:szCs w:val="24"/>
          <w:lang w:val="en-GB" w:eastAsia="en-US"/>
        </w:rPr>
        <w:tab/>
      </w:r>
    </w:p>
    <w:p w:rsidR="00F96676" w:rsidRPr="00A801BF" w:rsidRDefault="00F96676" w:rsidP="00F96676">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2912A3">
        <w:rPr>
          <w:rFonts w:ascii="Arial" w:eastAsia="Times New Roman" w:hAnsi="Arial" w:cs="Times New Roman"/>
          <w:b/>
          <w:bCs/>
          <w:kern w:val="0"/>
          <w:szCs w:val="20"/>
          <w:lang w:val="en-GB"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F96676" w:rsidRDefault="00F96676" w:rsidP="00F96676">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Pr>
          <w:rFonts w:ascii="바탕체" w:eastAsia="바탕체" w:hAnsi="바탕체" w:cs="바탕체"/>
          <w:b/>
          <w:bCs/>
          <w:kern w:val="0"/>
          <w:sz w:val="24"/>
          <w:szCs w:val="20"/>
        </w:rPr>
        <w:t>6.1.5.</w:t>
      </w:r>
      <w:r>
        <w:rPr>
          <w:rFonts w:ascii="바탕체" w:eastAsia="바탕체" w:hAnsi="바탕체" w:cs="바탕체"/>
          <w:b/>
          <w:bCs/>
          <w:kern w:val="0"/>
          <w:sz w:val="24"/>
          <w:szCs w:val="20"/>
        </w:rPr>
        <w:t>3</w:t>
      </w:r>
    </w:p>
    <w:p w:rsidR="00F96676" w:rsidRPr="00A801BF" w:rsidRDefault="00F96676" w:rsidP="00F96676">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t>Samsung</w:t>
      </w:r>
    </w:p>
    <w:p w:rsidR="00F96676" w:rsidRPr="00A801BF" w:rsidRDefault="00F96676" w:rsidP="00F96676">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Pr>
          <w:rFonts w:ascii="Arial" w:eastAsia="바탕" w:hAnsi="Arial" w:cs="Arial"/>
          <w:b/>
          <w:bCs/>
          <w:kern w:val="0"/>
          <w:sz w:val="24"/>
          <w:szCs w:val="20"/>
          <w:lang w:eastAsia="en-US"/>
        </w:rPr>
        <w:t>D</w:t>
      </w:r>
      <w:r w:rsidRPr="00F96676">
        <w:rPr>
          <w:rFonts w:ascii="Arial" w:eastAsia="바탕" w:hAnsi="Arial" w:cs="Arial"/>
          <w:b/>
          <w:bCs/>
          <w:kern w:val="0"/>
          <w:sz w:val="24"/>
          <w:szCs w:val="20"/>
          <w:lang w:eastAsia="en-US"/>
        </w:rPr>
        <w:t>elivering T_delta for IAB node</w:t>
      </w:r>
    </w:p>
    <w:p w:rsidR="00F96676" w:rsidRPr="00A801BF" w:rsidRDefault="00F96676" w:rsidP="00F96676">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F96676" w:rsidRDefault="00F96676" w:rsidP="00F96676">
      <w:pPr>
        <w:rPr>
          <w:rFonts w:eastAsiaTheme="minorEastAsia"/>
        </w:rPr>
      </w:pPr>
    </w:p>
    <w:p w:rsidR="004741F0" w:rsidRDefault="004741F0" w:rsidP="00F96676">
      <w:pPr>
        <w:pStyle w:val="1"/>
      </w:pPr>
      <w:r>
        <w:t>I</w:t>
      </w:r>
      <w:r>
        <w:rPr>
          <w:rFonts w:hint="eastAsia"/>
        </w:rPr>
        <w:t>ntroduction</w:t>
      </w:r>
    </w:p>
    <w:p w:rsidR="004741F0" w:rsidRDefault="004741F0" w:rsidP="004741F0">
      <w:pPr>
        <w:rPr>
          <w:rFonts w:eastAsiaTheme="minorEastAsia"/>
        </w:rPr>
      </w:pPr>
      <w:r>
        <w:rPr>
          <w:rFonts w:eastAsiaTheme="minorEastAsia"/>
        </w:rPr>
        <w:t xml:space="preserve">In RAN1#98bis, the following agreement regarding timing advance (TA) and other related value i.e., T_delta were made: </w:t>
      </w:r>
    </w:p>
    <w:tbl>
      <w:tblPr>
        <w:tblStyle w:val="a6"/>
        <w:tblW w:w="0" w:type="auto"/>
        <w:tblLook w:val="04A0" w:firstRow="1" w:lastRow="0" w:firstColumn="1" w:lastColumn="0" w:noHBand="0" w:noVBand="1"/>
      </w:tblPr>
      <w:tblGrid>
        <w:gridCol w:w="9016"/>
      </w:tblGrid>
      <w:tr w:rsidR="004741F0" w:rsidTr="004741F0">
        <w:tc>
          <w:tcPr>
            <w:tcW w:w="9016" w:type="dxa"/>
          </w:tcPr>
          <w:p w:rsidR="004741F0" w:rsidRPr="004741F0" w:rsidRDefault="004741F0" w:rsidP="004741F0">
            <w:pPr>
              <w:widowControl/>
              <w:shd w:val="clear" w:color="auto" w:fill="FFFFFF"/>
              <w:wordWrap/>
              <w:overflowPunct w:val="0"/>
              <w:autoSpaceDE/>
              <w:autoSpaceDN/>
              <w:spacing w:after="18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highlight w:val="green"/>
                <w:lang w:val="en-GB" w:eastAsia="x-none"/>
              </w:rPr>
              <w:t>Agreements</w:t>
            </w:r>
            <w:r w:rsidRPr="004741F0">
              <w:rPr>
                <w:rFonts w:ascii="Times New Roman" w:eastAsia="맑은 고딕" w:hAnsi="Times New Roman" w:cs="Times New Roman"/>
                <w:kern w:val="0"/>
                <w:szCs w:val="20"/>
                <w:lang w:val="en-GB" w:eastAsia="x-none"/>
              </w:rPr>
              <w:t>:</w:t>
            </w:r>
          </w:p>
          <w:p w:rsidR="004741F0" w:rsidRPr="004741F0" w:rsidRDefault="004741F0" w:rsidP="004741F0">
            <w:pPr>
              <w:widowControl/>
              <w:numPr>
                <w:ilvl w:val="0"/>
                <w:numId w:val="2"/>
              </w:numPr>
              <w:shd w:val="clear" w:color="auto" w:fill="FFFFFF"/>
              <w:wordWrap/>
              <w:overflowPunct w:val="0"/>
              <w:autoSpaceDE/>
              <w:autoSpaceDN/>
              <w:spacing w:before="100" w:beforeAutospacing="1" w:after="180"/>
              <w:ind w:left="33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en-US"/>
              </w:rPr>
              <w:t>For the TA and T_delta in (TA/2+T_delta), Opt-A is adopted with the following update:</w:t>
            </w:r>
          </w:p>
          <w:p w:rsidR="004741F0" w:rsidRPr="004741F0" w:rsidRDefault="004741F0" w:rsidP="004741F0">
            <w:pPr>
              <w:widowControl/>
              <w:numPr>
                <w:ilvl w:val="1"/>
                <w:numId w:val="2"/>
              </w:numPr>
              <w:shd w:val="clear" w:color="auto" w:fill="FFFFFF"/>
              <w:wordWrap/>
              <w:overflowPunct w:val="0"/>
              <w:autoSpaceDE/>
              <w:autoSpaceDN/>
              <w:spacing w:before="100" w:beforeAutospacing="1" w:after="180"/>
              <w:ind w:left="33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en-US"/>
              </w:rPr>
              <w:t>Opt-A: T_delta is given by the latest T_delta signaling, and TA represents the actual</w:t>
            </w:r>
            <w:r w:rsidRPr="004741F0">
              <w:rPr>
                <w:rFonts w:ascii="Times New Roman" w:eastAsia="맑은 고딕" w:hAnsi="Times New Roman" w:cs="Times New Roman"/>
                <w:kern w:val="0"/>
                <w:szCs w:val="20"/>
                <w:u w:val="single"/>
                <w:lang w:val="en-GB" w:eastAsia="en-US"/>
              </w:rPr>
              <w:t xml:space="preserve"> </w:t>
            </w:r>
            <w:r w:rsidRPr="004741F0">
              <w:rPr>
                <w:rFonts w:ascii="Times New Roman" w:eastAsia="맑은 고딕" w:hAnsi="Times New Roman" w:cs="Times New Roman"/>
                <w:kern w:val="0"/>
                <w:szCs w:val="20"/>
                <w:lang w:val="en-GB" w:eastAsia="en-US"/>
              </w:rPr>
              <w:t xml:space="preserve">time interval at the IAB node between the start of UL TX frame i and the start of DL RX frame i, which is updated with the received TA command per Rel-15. </w:t>
            </w:r>
          </w:p>
          <w:p w:rsidR="004741F0" w:rsidRPr="004741F0" w:rsidRDefault="004741F0" w:rsidP="004741F0">
            <w:pPr>
              <w:widowControl/>
              <w:numPr>
                <w:ilvl w:val="2"/>
                <w:numId w:val="2"/>
              </w:numPr>
              <w:shd w:val="clear" w:color="auto" w:fill="FFFFFF"/>
              <w:wordWrap/>
              <w:overflowPunct w:val="0"/>
              <w:autoSpaceDE/>
              <w:autoSpaceDN/>
              <w:spacing w:before="100" w:beforeAutospacing="1" w:after="180"/>
              <w:ind w:left="33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en-US"/>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4741F0">
              <w:rPr>
                <w:rFonts w:ascii="Wingdings" w:eastAsia="맑은 고딕" w:hAnsi="Wingdings" w:cs="굴림"/>
                <w:kern w:val="0"/>
                <w:szCs w:val="20"/>
                <w:lang w:val="en-GB" w:eastAsia="en-US"/>
              </w:rPr>
              <w:t></w:t>
            </w:r>
            <w:r w:rsidRPr="004741F0">
              <w:rPr>
                <w:rFonts w:ascii="Times New Roman" w:eastAsia="맑은 고딕" w:hAnsi="Times New Roman" w:cs="Times New Roman"/>
                <w:kern w:val="0"/>
                <w:szCs w:val="20"/>
                <w:lang w:val="en-GB" w:eastAsia="en-US"/>
              </w:rPr>
              <w:t xml:space="preserve"> no RAN1 spec impact</w:t>
            </w:r>
          </w:p>
          <w:p w:rsidR="004741F0" w:rsidRPr="004741F0" w:rsidRDefault="004741F0" w:rsidP="004741F0">
            <w:pPr>
              <w:widowControl/>
              <w:shd w:val="clear" w:color="auto" w:fill="FFFFFF"/>
              <w:wordWrap/>
              <w:overflowPunct w:val="0"/>
              <w:autoSpaceDE/>
              <w:autoSpaceDN/>
              <w:spacing w:before="75" w:after="18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x-none"/>
              </w:rPr>
              <w:t> </w:t>
            </w:r>
          </w:p>
          <w:p w:rsidR="004741F0" w:rsidRPr="004741F0" w:rsidRDefault="004741F0" w:rsidP="004741F0">
            <w:pPr>
              <w:widowControl/>
              <w:shd w:val="clear" w:color="auto" w:fill="FFFFFF"/>
              <w:wordWrap/>
              <w:overflowPunct w:val="0"/>
              <w:autoSpaceDE/>
              <w:autoSpaceDN/>
              <w:spacing w:before="75" w:after="18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highlight w:val="green"/>
                <w:lang w:val="en-GB" w:eastAsia="x-none"/>
              </w:rPr>
              <w:t>Agreements</w:t>
            </w:r>
            <w:r w:rsidRPr="004741F0">
              <w:rPr>
                <w:rFonts w:ascii="Times New Roman" w:eastAsia="맑은 고딕" w:hAnsi="Times New Roman" w:cs="Times New Roman"/>
                <w:kern w:val="0"/>
                <w:szCs w:val="20"/>
                <w:lang w:val="en-GB" w:eastAsia="x-none"/>
              </w:rPr>
              <w:t>:</w:t>
            </w:r>
          </w:p>
          <w:p w:rsidR="004741F0" w:rsidRPr="004741F0" w:rsidRDefault="004741F0" w:rsidP="004741F0">
            <w:pPr>
              <w:widowControl/>
              <w:numPr>
                <w:ilvl w:val="0"/>
                <w:numId w:val="3"/>
              </w:numPr>
              <w:shd w:val="clear" w:color="auto" w:fill="FFFFFF"/>
              <w:wordWrap/>
              <w:overflowPunct w:val="0"/>
              <w:autoSpaceDE/>
              <w:autoSpaceDN/>
              <w:spacing w:before="100" w:beforeAutospacing="1" w:after="180"/>
              <w:jc w:val="left"/>
              <w:rPr>
                <w:rFonts w:ascii="맑은 고딕" w:eastAsia="맑은 고딕" w:hAnsi="맑은 고딕" w:cs="굴림"/>
                <w:kern w:val="0"/>
                <w:sz w:val="21"/>
                <w:szCs w:val="21"/>
                <w:highlight w:val="yellow"/>
              </w:rPr>
            </w:pPr>
            <w:r w:rsidRPr="004741F0">
              <w:rPr>
                <w:rFonts w:ascii="Times New Roman" w:eastAsia="맑은 고딕" w:hAnsi="Times New Roman" w:cs="Times New Roman"/>
                <w:kern w:val="0"/>
                <w:szCs w:val="20"/>
                <w:highlight w:val="yellow"/>
                <w:lang w:val="en-GB" w:eastAsia="zh-CN"/>
              </w:rPr>
              <w:t>For the signalling to carry T_delta, MAC_CE is use</w:t>
            </w:r>
            <w:r w:rsidRPr="004741F0">
              <w:rPr>
                <w:rFonts w:ascii="Times New Roman" w:eastAsia="맑은 고딕" w:hAnsi="Times New Roman" w:cs="Times New Roman"/>
                <w:kern w:val="0"/>
                <w:szCs w:val="20"/>
                <w:highlight w:val="yellow"/>
                <w:lang w:val="en-GB" w:eastAsia="x-none"/>
              </w:rPr>
              <w:t>d</w:t>
            </w:r>
          </w:p>
          <w:p w:rsidR="004741F0" w:rsidRPr="004741F0" w:rsidRDefault="004741F0" w:rsidP="004741F0">
            <w:pPr>
              <w:widowControl/>
              <w:shd w:val="clear" w:color="auto" w:fill="FFFFFF"/>
              <w:wordWrap/>
              <w:overflowPunct w:val="0"/>
              <w:autoSpaceDE/>
              <w:autoSpaceDN/>
              <w:spacing w:before="75" w:after="180"/>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x-none"/>
              </w:rPr>
              <w:t xml:space="preserve">Send an LS to RAN2 (CCing RAN4) informing the above two agreements –Final LS in </w:t>
            </w:r>
            <w:r w:rsidRPr="004741F0">
              <w:rPr>
                <w:rFonts w:ascii="Times New Roman" w:eastAsia="맑은 고딕" w:hAnsi="Times New Roman" w:cs="Times New Roman"/>
                <w:kern w:val="0"/>
                <w:szCs w:val="20"/>
                <w:highlight w:val="green"/>
                <w:lang w:val="en-GB" w:eastAsia="x-none"/>
              </w:rPr>
              <w:t>R1-1911548</w:t>
            </w:r>
            <w:r w:rsidRPr="004741F0">
              <w:rPr>
                <w:rFonts w:ascii="Times New Roman" w:eastAsia="맑은 고딕" w:hAnsi="Times New Roman" w:cs="Times New Roman"/>
                <w:kern w:val="0"/>
                <w:szCs w:val="20"/>
                <w:lang w:val="en-GB" w:eastAsia="x-none"/>
              </w:rPr>
              <w:t>.  In the LS, also adding a note:</w:t>
            </w:r>
          </w:p>
          <w:p w:rsidR="004741F0" w:rsidRPr="004741F0" w:rsidRDefault="004741F0" w:rsidP="004741F0">
            <w:pPr>
              <w:widowControl/>
              <w:numPr>
                <w:ilvl w:val="0"/>
                <w:numId w:val="4"/>
              </w:numPr>
              <w:shd w:val="clear" w:color="auto" w:fill="FFFFFF"/>
              <w:wordWrap/>
              <w:overflowPunct w:val="0"/>
              <w:autoSpaceDE/>
              <w:autoSpaceDN/>
              <w:spacing w:before="100" w:beforeAutospacing="1"/>
              <w:jc w:val="left"/>
              <w:rPr>
                <w:rFonts w:ascii="맑은 고딕" w:eastAsia="맑은 고딕" w:hAnsi="맑은 고딕" w:cs="굴림"/>
                <w:kern w:val="0"/>
                <w:sz w:val="21"/>
                <w:szCs w:val="21"/>
              </w:rPr>
            </w:pPr>
            <w:r w:rsidRPr="004741F0">
              <w:rPr>
                <w:rFonts w:ascii="Times New Roman" w:eastAsia="맑은 고딕" w:hAnsi="Times New Roman" w:cs="Times New Roman"/>
                <w:kern w:val="0"/>
                <w:szCs w:val="20"/>
                <w:lang w:val="en-GB" w:eastAsia="x-none"/>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rsidR="004741F0" w:rsidRPr="004741F0" w:rsidRDefault="004741F0" w:rsidP="004741F0">
            <w:pPr>
              <w:rPr>
                <w:rFonts w:eastAsiaTheme="minorEastAsia"/>
              </w:rPr>
            </w:pPr>
          </w:p>
        </w:tc>
      </w:tr>
    </w:tbl>
    <w:p w:rsidR="004741F0" w:rsidRDefault="004741F0" w:rsidP="004741F0">
      <w:pPr>
        <w:rPr>
          <w:rFonts w:eastAsiaTheme="minorEastAsia"/>
        </w:rPr>
      </w:pPr>
    </w:p>
    <w:p w:rsidR="004741F0" w:rsidRDefault="004741F0" w:rsidP="004741F0">
      <w:pPr>
        <w:rPr>
          <w:rFonts w:eastAsiaTheme="minorEastAsia"/>
        </w:rPr>
      </w:pPr>
      <w:r>
        <w:rPr>
          <w:rFonts w:eastAsiaTheme="minorEastAsia" w:hint="eastAsia"/>
        </w:rPr>
        <w:t>We discussed in the T_delta value delivery method as indicated in the agreement.</w:t>
      </w:r>
    </w:p>
    <w:p w:rsidR="00D164EC" w:rsidRPr="004741F0" w:rsidRDefault="004741F0" w:rsidP="004741F0">
      <w:pPr>
        <w:rPr>
          <w:rFonts w:eastAsiaTheme="minorEastAsia"/>
        </w:rPr>
      </w:pPr>
      <w:r>
        <w:rPr>
          <w:rFonts w:eastAsiaTheme="minorEastAsia"/>
        </w:rPr>
        <w:t xml:space="preserve"> </w:t>
      </w:r>
      <w:r w:rsidRPr="004741F0">
        <w:rPr>
          <w:rFonts w:eastAsiaTheme="minorEastAsia" w:hint="eastAsia"/>
        </w:rPr>
        <w:t xml:space="preserve"> </w:t>
      </w:r>
    </w:p>
    <w:p w:rsidR="004741F0" w:rsidRDefault="004741F0" w:rsidP="00F96676">
      <w:pPr>
        <w:pStyle w:val="1"/>
      </w:pPr>
      <w:r>
        <w:lastRenderedPageBreak/>
        <w:t xml:space="preserve">Discussion </w:t>
      </w:r>
    </w:p>
    <w:p w:rsidR="008E13F0" w:rsidRDefault="004741F0" w:rsidP="004741F0">
      <w:pPr>
        <w:rPr>
          <w:rFonts w:eastAsiaTheme="minorEastAsia"/>
        </w:rPr>
      </w:pPr>
      <w:r>
        <w:rPr>
          <w:rFonts w:eastAsiaTheme="minorEastAsia"/>
        </w:rPr>
        <w:t>T</w:t>
      </w:r>
      <w:r>
        <w:rPr>
          <w:rFonts w:eastAsiaTheme="minorEastAsia" w:hint="eastAsia"/>
        </w:rPr>
        <w:t xml:space="preserve">iming </w:t>
      </w:r>
      <w:r>
        <w:rPr>
          <w:rFonts w:eastAsiaTheme="minorEastAsia"/>
        </w:rPr>
        <w:t xml:space="preserve">synchronization is one of baseline function to be solved in IAB where each IAB node has its downstream IAB node, and upstream IAB node. These IAB nodes are connected on the air and not easy to synchronized as compared to the among normal wired nodes. </w:t>
      </w:r>
      <w:r w:rsidR="008E13F0">
        <w:rPr>
          <w:rFonts w:eastAsiaTheme="minorEastAsia"/>
        </w:rPr>
        <w:t xml:space="preserve">Since TA value has compensating term of T_delta which could be generated at the parent IAB node, there was some discussion on how to delivering this to the downstream IAB node. </w:t>
      </w:r>
    </w:p>
    <w:p w:rsidR="008E13F0" w:rsidRDefault="008E13F0" w:rsidP="004741F0">
      <w:pPr>
        <w:rPr>
          <w:rFonts w:eastAsiaTheme="minorEastAsia"/>
        </w:rPr>
      </w:pPr>
      <w:r>
        <w:rPr>
          <w:rFonts w:eastAsiaTheme="minorEastAsia"/>
        </w:rPr>
        <w:t xml:space="preserve">As indicated in RAN1 98bis meeting this was agreed to be through MAC_CE, and the main reason is that the information is mainly for between parent – child IAB node, and should be agile, and promptly or frequently indicated. RRC signaling is not that use in general. And the reliability issue is </w:t>
      </w:r>
      <w:r w:rsidR="002D4106">
        <w:rPr>
          <w:rFonts w:eastAsiaTheme="minorEastAsia"/>
        </w:rPr>
        <w:t xml:space="preserve">applicable </w:t>
      </w:r>
      <w:r>
        <w:rPr>
          <w:rFonts w:eastAsiaTheme="minorEastAsia"/>
        </w:rPr>
        <w:t xml:space="preserve">not only on this signaling but all the MAC CE signaling </w:t>
      </w:r>
      <w:r w:rsidR="002D4106">
        <w:rPr>
          <w:rFonts w:eastAsiaTheme="minorEastAsia"/>
        </w:rPr>
        <w:t xml:space="preserve">situation. After comparing, the MAC CE signaling for T_delta value to be carried in MAC CE in IAB. </w:t>
      </w:r>
    </w:p>
    <w:p w:rsidR="002D4106" w:rsidRDefault="002D4106" w:rsidP="004741F0">
      <w:pPr>
        <w:rPr>
          <w:rFonts w:eastAsiaTheme="minorEastAsia"/>
        </w:rPr>
      </w:pPr>
      <w:r>
        <w:rPr>
          <w:rFonts w:eastAsiaTheme="minorEastAsia"/>
        </w:rPr>
        <w:t>So, we can simply follow this decision.</w:t>
      </w:r>
    </w:p>
    <w:p w:rsidR="002D4106" w:rsidRPr="002D4106" w:rsidRDefault="002D4106" w:rsidP="004741F0">
      <w:pPr>
        <w:rPr>
          <w:rFonts w:eastAsiaTheme="minorEastAsia"/>
          <w:b/>
        </w:rPr>
      </w:pPr>
      <w:r w:rsidRPr="002D4106">
        <w:rPr>
          <w:rFonts w:eastAsiaTheme="minorEastAsia"/>
          <w:b/>
        </w:rPr>
        <w:t>Proposal 1. RAN2 agree that MAC CE is used for signaling of T_delta value to the downstream IAB node.</w:t>
      </w:r>
    </w:p>
    <w:p w:rsidR="002D4106" w:rsidRPr="008E13F0" w:rsidRDefault="002D4106" w:rsidP="004741F0">
      <w:pPr>
        <w:rPr>
          <w:rFonts w:eastAsiaTheme="minorEastAsia"/>
        </w:rPr>
      </w:pPr>
    </w:p>
    <w:p w:rsidR="004741F0" w:rsidRDefault="004741F0" w:rsidP="00F96676">
      <w:pPr>
        <w:pStyle w:val="1"/>
      </w:pPr>
      <w:r>
        <w:t>Conclusion</w:t>
      </w:r>
    </w:p>
    <w:p w:rsidR="002D4106" w:rsidRDefault="002D4106" w:rsidP="002D4106">
      <w:pPr>
        <w:rPr>
          <w:rFonts w:eastAsiaTheme="minorEastAsia"/>
        </w:rPr>
      </w:pPr>
      <w:r>
        <w:rPr>
          <w:rFonts w:eastAsiaTheme="minorEastAsia" w:hint="eastAsia"/>
        </w:rPr>
        <w:t>In this contribution, we have the following proposal.</w:t>
      </w:r>
    </w:p>
    <w:p w:rsidR="002D4106" w:rsidRPr="002D4106" w:rsidRDefault="002D4106" w:rsidP="002D4106">
      <w:pPr>
        <w:rPr>
          <w:rFonts w:eastAsiaTheme="minorEastAsia"/>
          <w:b/>
        </w:rPr>
      </w:pPr>
      <w:r w:rsidRPr="002D4106">
        <w:rPr>
          <w:rFonts w:eastAsiaTheme="minorEastAsia"/>
          <w:b/>
        </w:rPr>
        <w:t>Proposal 1. RAN2 agree that MAC CE is used for signaling of T_delta value to the downstream IAB node.</w:t>
      </w:r>
    </w:p>
    <w:p w:rsidR="002D4106" w:rsidRPr="002D4106" w:rsidRDefault="002D4106" w:rsidP="002D4106">
      <w:pPr>
        <w:rPr>
          <w:rFonts w:eastAsiaTheme="minorEastAsia"/>
        </w:rPr>
      </w:pPr>
    </w:p>
    <w:p w:rsidR="002D4106" w:rsidRPr="002D4106" w:rsidRDefault="002D4106" w:rsidP="002D4106">
      <w:pPr>
        <w:rPr>
          <w:rFonts w:eastAsiaTheme="minorEastAsia"/>
        </w:rPr>
      </w:pPr>
    </w:p>
    <w:p w:rsidR="002D4106" w:rsidRDefault="004741F0" w:rsidP="00F96676">
      <w:pPr>
        <w:pStyle w:val="1"/>
      </w:pPr>
      <w:r>
        <w:t>R</w:t>
      </w:r>
      <w:r>
        <w:rPr>
          <w:rFonts w:hint="eastAsia"/>
        </w:rPr>
        <w:t xml:space="preserve">eferences </w:t>
      </w:r>
    </w:p>
    <w:p w:rsidR="002D4106" w:rsidRPr="002D4106" w:rsidRDefault="002D4106" w:rsidP="002D4106">
      <w:pPr>
        <w:rPr>
          <w:rFonts w:eastAsiaTheme="minorEastAsia"/>
        </w:rPr>
      </w:pPr>
      <w:r>
        <w:rPr>
          <w:rFonts w:eastAsiaTheme="minorEastAsia" w:hint="eastAsia"/>
        </w:rPr>
        <w:t>[1] Chairman note, RAN1#98bis, Oct., 2019</w:t>
      </w:r>
    </w:p>
    <w:sectPr w:rsidR="002D4106" w:rsidRPr="002D410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4D9" w:rsidRDefault="007304D9" w:rsidP="00F96676">
      <w:pPr>
        <w:spacing w:after="0" w:line="240" w:lineRule="auto"/>
      </w:pPr>
      <w:r>
        <w:separator/>
      </w:r>
    </w:p>
  </w:endnote>
  <w:endnote w:type="continuationSeparator" w:id="0">
    <w:p w:rsidR="007304D9" w:rsidRDefault="007304D9" w:rsidP="00F96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4D9" w:rsidRDefault="007304D9" w:rsidP="00F96676">
      <w:pPr>
        <w:spacing w:after="0" w:line="240" w:lineRule="auto"/>
      </w:pPr>
      <w:r>
        <w:separator/>
      </w:r>
    </w:p>
  </w:footnote>
  <w:footnote w:type="continuationSeparator" w:id="0">
    <w:p w:rsidR="007304D9" w:rsidRDefault="007304D9" w:rsidP="00F96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446394B"/>
    <w:multiLevelType w:val="multilevel"/>
    <w:tmpl w:val="7290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175999"/>
    <w:multiLevelType w:val="multilevel"/>
    <w:tmpl w:val="0CA2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D905CDD"/>
    <w:multiLevelType w:val="multilevel"/>
    <w:tmpl w:val="93A6D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57264B2"/>
    <w:multiLevelType w:val="hybridMultilevel"/>
    <w:tmpl w:val="1A26A0AA"/>
    <w:lvl w:ilvl="0" w:tplc="9C10888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4EC"/>
    <w:rsid w:val="00033F41"/>
    <w:rsid w:val="00046839"/>
    <w:rsid w:val="002A44DE"/>
    <w:rsid w:val="002D4106"/>
    <w:rsid w:val="004741F0"/>
    <w:rsid w:val="007304D9"/>
    <w:rsid w:val="00846938"/>
    <w:rsid w:val="008D7364"/>
    <w:rsid w:val="008E13F0"/>
    <w:rsid w:val="00940F74"/>
    <w:rsid w:val="00C61031"/>
    <w:rsid w:val="00D164EC"/>
    <w:rsid w:val="00D5117B"/>
    <w:rsid w:val="00F966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7646"/>
  <w15:chartTrackingRefBased/>
  <w15:docId w15:val="{D7015F1B-ACD7-4C05-B875-9C8AAD9A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F96676"/>
    <w:pPr>
      <w:keepNext/>
      <w:keepLines/>
      <w:numPr>
        <w:numId w:val="5"/>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F96676"/>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F9667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F96676"/>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4741F0"/>
    <w:pPr>
      <w:ind w:leftChars="400" w:left="800"/>
    </w:pPr>
  </w:style>
  <w:style w:type="table" w:styleId="a6">
    <w:name w:val="Table Grid"/>
    <w:basedOn w:val="a3"/>
    <w:uiPriority w:val="39"/>
    <w:rsid w:val="0047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1"/>
    <w:link w:val="Char"/>
    <w:uiPriority w:val="99"/>
    <w:unhideWhenUsed/>
    <w:rsid w:val="00F96676"/>
    <w:pPr>
      <w:tabs>
        <w:tab w:val="center" w:pos="4513"/>
        <w:tab w:val="right" w:pos="9026"/>
      </w:tabs>
      <w:snapToGrid w:val="0"/>
    </w:pPr>
  </w:style>
  <w:style w:type="character" w:customStyle="1" w:styleId="Char">
    <w:name w:val="머리글 Char"/>
    <w:basedOn w:val="a2"/>
    <w:link w:val="a7"/>
    <w:uiPriority w:val="99"/>
    <w:rsid w:val="00F96676"/>
    <w:rPr>
      <w:rFonts w:ascii="Calibri" w:eastAsia="Calibri" w:hAnsi="Calibri"/>
    </w:rPr>
  </w:style>
  <w:style w:type="paragraph" w:styleId="a8">
    <w:name w:val="footer"/>
    <w:basedOn w:val="a1"/>
    <w:link w:val="Char0"/>
    <w:uiPriority w:val="99"/>
    <w:unhideWhenUsed/>
    <w:rsid w:val="00F96676"/>
    <w:pPr>
      <w:tabs>
        <w:tab w:val="center" w:pos="4513"/>
        <w:tab w:val="right" w:pos="9026"/>
      </w:tabs>
      <w:snapToGrid w:val="0"/>
    </w:pPr>
  </w:style>
  <w:style w:type="character" w:customStyle="1" w:styleId="Char0">
    <w:name w:val="바닥글 Char"/>
    <w:basedOn w:val="a2"/>
    <w:link w:val="a8"/>
    <w:uiPriority w:val="99"/>
    <w:rsid w:val="00F96676"/>
    <w:rPr>
      <w:rFonts w:ascii="Calibri" w:eastAsia="Calibri" w:hAnsi="Calibri"/>
    </w:rPr>
  </w:style>
  <w:style w:type="character" w:customStyle="1" w:styleId="1Char">
    <w:name w:val="제목 1 Char"/>
    <w:aliases w:val="H1 Char"/>
    <w:basedOn w:val="a2"/>
    <w:link w:val="1"/>
    <w:uiPriority w:val="9"/>
    <w:rsid w:val="00F96676"/>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F96676"/>
    <w:rPr>
      <w:rFonts w:ascii="Arial" w:eastAsia="SimSun" w:hAnsi="Arial" w:cs="Times New Roman"/>
      <w:kern w:val="0"/>
      <w:sz w:val="28"/>
      <w:szCs w:val="20"/>
      <w:lang w:val="en-GB" w:eastAsia="en-US"/>
    </w:rPr>
  </w:style>
  <w:style w:type="character" w:customStyle="1" w:styleId="3Char">
    <w:name w:val="제목 3 Char"/>
    <w:basedOn w:val="a2"/>
    <w:link w:val="3"/>
    <w:rsid w:val="00F96676"/>
    <w:rPr>
      <w:rFonts w:ascii="Arial" w:eastAsia="SimSun" w:hAnsi="Arial" w:cs="Times New Roman"/>
      <w:kern w:val="0"/>
      <w:sz w:val="28"/>
      <w:szCs w:val="20"/>
      <w:lang w:val="en-GB" w:eastAsia="en-US"/>
    </w:rPr>
  </w:style>
  <w:style w:type="character" w:customStyle="1" w:styleId="4Char">
    <w:name w:val="제목 4 Char"/>
    <w:basedOn w:val="a2"/>
    <w:link w:val="4"/>
    <w:uiPriority w:val="9"/>
    <w:rsid w:val="00F96676"/>
    <w:rPr>
      <w:rFonts w:ascii="Arial" w:eastAsia="SimSun" w:hAnsi="Arial" w:cs="Times New Roman"/>
      <w:kern w:val="0"/>
      <w:sz w:val="24"/>
      <w:szCs w:val="20"/>
      <w:lang w:val="en-GB" w:eastAsia="en-US"/>
    </w:rPr>
  </w:style>
  <w:style w:type="paragraph" w:customStyle="1" w:styleId="a">
    <w:name w:val="插图题注"/>
    <w:basedOn w:val="a1"/>
    <w:rsid w:val="00F96676"/>
    <w:pPr>
      <w:widowControl/>
      <w:numPr>
        <w:ilvl w:val="7"/>
        <w:numId w:val="5"/>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F96676"/>
    <w:pPr>
      <w:widowControl/>
      <w:numPr>
        <w:ilvl w:val="8"/>
        <w:numId w:val="5"/>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7285">
      <w:bodyDiv w:val="1"/>
      <w:marLeft w:val="0"/>
      <w:marRight w:val="0"/>
      <w:marTop w:val="0"/>
      <w:marBottom w:val="0"/>
      <w:divBdr>
        <w:top w:val="none" w:sz="0" w:space="0" w:color="auto"/>
        <w:left w:val="none" w:sz="0" w:space="0" w:color="auto"/>
        <w:bottom w:val="none" w:sz="0" w:space="0" w:color="auto"/>
        <w:right w:val="none" w:sz="0" w:space="0" w:color="auto"/>
      </w:divBdr>
      <w:divsChild>
        <w:div w:id="2146776712">
          <w:marLeft w:val="0"/>
          <w:marRight w:val="0"/>
          <w:marTop w:val="0"/>
          <w:marBottom w:val="0"/>
          <w:divBdr>
            <w:top w:val="none" w:sz="0" w:space="0" w:color="auto"/>
            <w:left w:val="none" w:sz="0" w:space="0" w:color="auto"/>
            <w:bottom w:val="none" w:sz="0" w:space="0" w:color="auto"/>
            <w:right w:val="none" w:sz="0" w:space="0" w:color="auto"/>
          </w:divBdr>
          <w:divsChild>
            <w:div w:id="1734624100">
              <w:marLeft w:val="0"/>
              <w:marRight w:val="0"/>
              <w:marTop w:val="0"/>
              <w:marBottom w:val="0"/>
              <w:divBdr>
                <w:top w:val="none" w:sz="0" w:space="0" w:color="auto"/>
                <w:left w:val="none" w:sz="0" w:space="0" w:color="auto"/>
                <w:bottom w:val="none" w:sz="0" w:space="0" w:color="auto"/>
                <w:right w:val="none" w:sz="0" w:space="0" w:color="auto"/>
              </w:divBdr>
              <w:divsChild>
                <w:div w:id="2066097751">
                  <w:marLeft w:val="0"/>
                  <w:marRight w:val="0"/>
                  <w:marTop w:val="0"/>
                  <w:marBottom w:val="0"/>
                  <w:divBdr>
                    <w:top w:val="none" w:sz="0" w:space="0" w:color="auto"/>
                    <w:left w:val="none" w:sz="0" w:space="0" w:color="auto"/>
                    <w:bottom w:val="none" w:sz="0" w:space="0" w:color="auto"/>
                    <w:right w:val="none" w:sz="0" w:space="0" w:color="auto"/>
                  </w:divBdr>
                  <w:divsChild>
                    <w:div w:id="220556759">
                      <w:marLeft w:val="0"/>
                      <w:marRight w:val="0"/>
                      <w:marTop w:val="0"/>
                      <w:marBottom w:val="0"/>
                      <w:divBdr>
                        <w:top w:val="none" w:sz="0" w:space="0" w:color="auto"/>
                        <w:left w:val="none" w:sz="0" w:space="0" w:color="auto"/>
                        <w:bottom w:val="none" w:sz="0" w:space="0" w:color="auto"/>
                        <w:right w:val="none" w:sz="0" w:space="0" w:color="auto"/>
                      </w:divBdr>
                      <w:divsChild>
                        <w:div w:id="1993440445">
                          <w:marLeft w:val="0"/>
                          <w:marRight w:val="0"/>
                          <w:marTop w:val="0"/>
                          <w:marBottom w:val="0"/>
                          <w:divBdr>
                            <w:top w:val="none" w:sz="0" w:space="0" w:color="auto"/>
                            <w:left w:val="none" w:sz="0" w:space="0" w:color="auto"/>
                            <w:bottom w:val="none" w:sz="0" w:space="0" w:color="auto"/>
                            <w:right w:val="none" w:sz="0" w:space="0" w:color="auto"/>
                          </w:divBdr>
                          <w:divsChild>
                            <w:div w:id="555090580">
                              <w:marLeft w:val="0"/>
                              <w:marRight w:val="0"/>
                              <w:marTop w:val="0"/>
                              <w:marBottom w:val="0"/>
                              <w:divBdr>
                                <w:top w:val="none" w:sz="0" w:space="0" w:color="auto"/>
                                <w:left w:val="none" w:sz="0" w:space="0" w:color="auto"/>
                                <w:bottom w:val="none" w:sz="0" w:space="0" w:color="auto"/>
                                <w:right w:val="none" w:sz="0" w:space="0" w:color="auto"/>
                              </w:divBdr>
                              <w:divsChild>
                                <w:div w:id="1637755627">
                                  <w:marLeft w:val="0"/>
                                  <w:marRight w:val="0"/>
                                  <w:marTop w:val="0"/>
                                  <w:marBottom w:val="0"/>
                                  <w:divBdr>
                                    <w:top w:val="none" w:sz="0" w:space="0" w:color="auto"/>
                                    <w:left w:val="none" w:sz="0" w:space="0" w:color="auto"/>
                                    <w:bottom w:val="none" w:sz="0" w:space="0" w:color="auto"/>
                                    <w:right w:val="none" w:sz="0" w:space="0" w:color="auto"/>
                                  </w:divBdr>
                                  <w:divsChild>
                                    <w:div w:id="1693729819">
                                      <w:marLeft w:val="0"/>
                                      <w:marRight w:val="0"/>
                                      <w:marTop w:val="0"/>
                                      <w:marBottom w:val="0"/>
                                      <w:divBdr>
                                        <w:top w:val="none" w:sz="0" w:space="0" w:color="auto"/>
                                        <w:left w:val="none" w:sz="0" w:space="0" w:color="auto"/>
                                        <w:bottom w:val="none" w:sz="0" w:space="0" w:color="auto"/>
                                        <w:right w:val="none" w:sz="0" w:space="0" w:color="auto"/>
                                      </w:divBdr>
                                      <w:divsChild>
                                        <w:div w:id="611935985">
                                          <w:marLeft w:val="0"/>
                                          <w:marRight w:val="0"/>
                                          <w:marTop w:val="0"/>
                                          <w:marBottom w:val="0"/>
                                          <w:divBdr>
                                            <w:top w:val="none" w:sz="0" w:space="0" w:color="auto"/>
                                            <w:left w:val="none" w:sz="0" w:space="0" w:color="auto"/>
                                            <w:bottom w:val="none" w:sz="0" w:space="0" w:color="auto"/>
                                            <w:right w:val="none" w:sz="0" w:space="0" w:color="auto"/>
                                          </w:divBdr>
                                          <w:divsChild>
                                            <w:div w:id="469593764">
                                              <w:marLeft w:val="330"/>
                                              <w:marRight w:val="225"/>
                                              <w:marTop w:val="300"/>
                                              <w:marBottom w:val="450"/>
                                              <w:divBdr>
                                                <w:top w:val="none" w:sz="0" w:space="0" w:color="auto"/>
                                                <w:left w:val="none" w:sz="0" w:space="0" w:color="auto"/>
                                                <w:bottom w:val="none" w:sz="0" w:space="0" w:color="auto"/>
                                                <w:right w:val="none" w:sz="0" w:space="0" w:color="auto"/>
                                              </w:divBdr>
                                              <w:divsChild>
                                                <w:div w:id="283777533">
                                                  <w:marLeft w:val="0"/>
                                                  <w:marRight w:val="0"/>
                                                  <w:marTop w:val="0"/>
                                                  <w:marBottom w:val="0"/>
                                                  <w:divBdr>
                                                    <w:top w:val="none" w:sz="0" w:space="0" w:color="auto"/>
                                                    <w:left w:val="none" w:sz="0" w:space="0" w:color="auto"/>
                                                    <w:bottom w:val="none" w:sz="0" w:space="0" w:color="auto"/>
                                                    <w:right w:val="none" w:sz="0" w:space="0" w:color="auto"/>
                                                  </w:divBdr>
                                                  <w:divsChild>
                                                    <w:div w:id="10673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6198507">
      <w:bodyDiv w:val="1"/>
      <w:marLeft w:val="0"/>
      <w:marRight w:val="0"/>
      <w:marTop w:val="0"/>
      <w:marBottom w:val="0"/>
      <w:divBdr>
        <w:top w:val="none" w:sz="0" w:space="0" w:color="auto"/>
        <w:left w:val="none" w:sz="0" w:space="0" w:color="auto"/>
        <w:bottom w:val="none" w:sz="0" w:space="0" w:color="auto"/>
        <w:right w:val="none" w:sz="0" w:space="0" w:color="auto"/>
      </w:divBdr>
      <w:divsChild>
        <w:div w:id="1383599581">
          <w:marLeft w:val="0"/>
          <w:marRight w:val="0"/>
          <w:marTop w:val="0"/>
          <w:marBottom w:val="0"/>
          <w:divBdr>
            <w:top w:val="none" w:sz="0" w:space="0" w:color="auto"/>
            <w:left w:val="none" w:sz="0" w:space="0" w:color="auto"/>
            <w:bottom w:val="none" w:sz="0" w:space="0" w:color="auto"/>
            <w:right w:val="none" w:sz="0" w:space="0" w:color="auto"/>
          </w:divBdr>
          <w:divsChild>
            <w:div w:id="1087847841">
              <w:marLeft w:val="0"/>
              <w:marRight w:val="0"/>
              <w:marTop w:val="0"/>
              <w:marBottom w:val="0"/>
              <w:divBdr>
                <w:top w:val="none" w:sz="0" w:space="0" w:color="auto"/>
                <w:left w:val="none" w:sz="0" w:space="0" w:color="auto"/>
                <w:bottom w:val="none" w:sz="0" w:space="0" w:color="auto"/>
                <w:right w:val="none" w:sz="0" w:space="0" w:color="auto"/>
              </w:divBdr>
              <w:divsChild>
                <w:div w:id="996113495">
                  <w:marLeft w:val="0"/>
                  <w:marRight w:val="0"/>
                  <w:marTop w:val="0"/>
                  <w:marBottom w:val="0"/>
                  <w:divBdr>
                    <w:top w:val="none" w:sz="0" w:space="0" w:color="auto"/>
                    <w:left w:val="none" w:sz="0" w:space="0" w:color="auto"/>
                    <w:bottom w:val="none" w:sz="0" w:space="0" w:color="auto"/>
                    <w:right w:val="none" w:sz="0" w:space="0" w:color="auto"/>
                  </w:divBdr>
                  <w:divsChild>
                    <w:div w:id="1595897425">
                      <w:marLeft w:val="0"/>
                      <w:marRight w:val="0"/>
                      <w:marTop w:val="0"/>
                      <w:marBottom w:val="0"/>
                      <w:divBdr>
                        <w:top w:val="none" w:sz="0" w:space="0" w:color="auto"/>
                        <w:left w:val="none" w:sz="0" w:space="0" w:color="auto"/>
                        <w:bottom w:val="none" w:sz="0" w:space="0" w:color="auto"/>
                        <w:right w:val="none" w:sz="0" w:space="0" w:color="auto"/>
                      </w:divBdr>
                      <w:divsChild>
                        <w:div w:id="1119110958">
                          <w:marLeft w:val="0"/>
                          <w:marRight w:val="0"/>
                          <w:marTop w:val="0"/>
                          <w:marBottom w:val="0"/>
                          <w:divBdr>
                            <w:top w:val="none" w:sz="0" w:space="0" w:color="auto"/>
                            <w:left w:val="none" w:sz="0" w:space="0" w:color="auto"/>
                            <w:bottom w:val="none" w:sz="0" w:space="0" w:color="auto"/>
                            <w:right w:val="none" w:sz="0" w:space="0" w:color="auto"/>
                          </w:divBdr>
                          <w:divsChild>
                            <w:div w:id="2139488982">
                              <w:marLeft w:val="0"/>
                              <w:marRight w:val="0"/>
                              <w:marTop w:val="0"/>
                              <w:marBottom w:val="0"/>
                              <w:divBdr>
                                <w:top w:val="none" w:sz="0" w:space="0" w:color="auto"/>
                                <w:left w:val="none" w:sz="0" w:space="0" w:color="auto"/>
                                <w:bottom w:val="none" w:sz="0" w:space="0" w:color="auto"/>
                                <w:right w:val="none" w:sz="0" w:space="0" w:color="auto"/>
                              </w:divBdr>
                              <w:divsChild>
                                <w:div w:id="2114931587">
                                  <w:marLeft w:val="0"/>
                                  <w:marRight w:val="0"/>
                                  <w:marTop w:val="0"/>
                                  <w:marBottom w:val="0"/>
                                  <w:divBdr>
                                    <w:top w:val="none" w:sz="0" w:space="0" w:color="auto"/>
                                    <w:left w:val="none" w:sz="0" w:space="0" w:color="auto"/>
                                    <w:bottom w:val="none" w:sz="0" w:space="0" w:color="auto"/>
                                    <w:right w:val="none" w:sz="0" w:space="0" w:color="auto"/>
                                  </w:divBdr>
                                  <w:divsChild>
                                    <w:div w:id="597786109">
                                      <w:marLeft w:val="0"/>
                                      <w:marRight w:val="0"/>
                                      <w:marTop w:val="0"/>
                                      <w:marBottom w:val="0"/>
                                      <w:divBdr>
                                        <w:top w:val="none" w:sz="0" w:space="0" w:color="auto"/>
                                        <w:left w:val="none" w:sz="0" w:space="0" w:color="auto"/>
                                        <w:bottom w:val="none" w:sz="0" w:space="0" w:color="auto"/>
                                        <w:right w:val="none" w:sz="0" w:space="0" w:color="auto"/>
                                      </w:divBdr>
                                      <w:divsChild>
                                        <w:div w:id="1338849488">
                                          <w:marLeft w:val="0"/>
                                          <w:marRight w:val="0"/>
                                          <w:marTop w:val="0"/>
                                          <w:marBottom w:val="0"/>
                                          <w:divBdr>
                                            <w:top w:val="none" w:sz="0" w:space="0" w:color="auto"/>
                                            <w:left w:val="none" w:sz="0" w:space="0" w:color="auto"/>
                                            <w:bottom w:val="none" w:sz="0" w:space="0" w:color="auto"/>
                                            <w:right w:val="none" w:sz="0" w:space="0" w:color="auto"/>
                                          </w:divBdr>
                                          <w:divsChild>
                                            <w:div w:id="721834675">
                                              <w:marLeft w:val="330"/>
                                              <w:marRight w:val="225"/>
                                              <w:marTop w:val="300"/>
                                              <w:marBottom w:val="450"/>
                                              <w:divBdr>
                                                <w:top w:val="none" w:sz="0" w:space="0" w:color="auto"/>
                                                <w:left w:val="none" w:sz="0" w:space="0" w:color="auto"/>
                                                <w:bottom w:val="none" w:sz="0" w:space="0" w:color="auto"/>
                                                <w:right w:val="none" w:sz="0" w:space="0" w:color="auto"/>
                                              </w:divBdr>
                                              <w:divsChild>
                                                <w:div w:id="1784153289">
                                                  <w:marLeft w:val="0"/>
                                                  <w:marRight w:val="0"/>
                                                  <w:marTop w:val="0"/>
                                                  <w:marBottom w:val="0"/>
                                                  <w:divBdr>
                                                    <w:top w:val="none" w:sz="0" w:space="0" w:color="auto"/>
                                                    <w:left w:val="none" w:sz="0" w:space="0" w:color="auto"/>
                                                    <w:bottom w:val="none" w:sz="0" w:space="0" w:color="auto"/>
                                                    <w:right w:val="none" w:sz="0" w:space="0" w:color="auto"/>
                                                  </w:divBdr>
                                                  <w:divsChild>
                                                    <w:div w:id="111549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470</Words>
  <Characters>2682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3</cp:revision>
  <dcterms:created xsi:type="dcterms:W3CDTF">2019-11-07T01:13:00Z</dcterms:created>
  <dcterms:modified xsi:type="dcterms:W3CDTF">2019-11-08T02:37:00Z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데이터\RAN2#108\submission\R2-19xxxxx T_delta signaling for IAB.docx</vt:lpwstr>
  </property>
</Properties>
</file>